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关于开展省级一流人工智能本科课程建设暨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2025年省级一流人工智能通识课程申报工作的通知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各学院（部）：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根据《浙江省教育厅办公室关于开展省级一流人工智能本科课程建设暨</w:t>
      </w:r>
      <w:r>
        <w:rPr>
          <w:rFonts w:ascii="宋体" w:hAnsi="宋体" w:eastAsia="宋体"/>
          <w:sz w:val="24"/>
          <w:szCs w:val="24"/>
        </w:rPr>
        <w:t>2025年</w:t>
      </w:r>
      <w:r>
        <w:rPr>
          <w:rFonts w:hint="eastAsia" w:ascii="宋体" w:hAnsi="宋体" w:eastAsia="宋体"/>
          <w:sz w:val="24"/>
          <w:szCs w:val="24"/>
        </w:rPr>
        <w:t>省级一流人工智能通识课程申报工作的通知》（浙教办函〔</w:t>
      </w:r>
      <w:r>
        <w:rPr>
          <w:rFonts w:ascii="宋体" w:hAnsi="宋体" w:eastAsia="宋体"/>
          <w:sz w:val="24"/>
          <w:szCs w:val="24"/>
        </w:rPr>
        <w:t>2025〕10号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要求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现就</w:t>
      </w:r>
      <w:r>
        <w:rPr>
          <w:rFonts w:hint="eastAsia" w:ascii="宋体" w:hAnsi="宋体" w:eastAsia="宋体"/>
          <w:sz w:val="24"/>
          <w:szCs w:val="24"/>
        </w:rPr>
        <w:t>省级一流人工智能本科课程建设暨</w:t>
      </w:r>
      <w:r>
        <w:rPr>
          <w:rFonts w:ascii="宋体" w:hAnsi="宋体" w:eastAsia="宋体"/>
          <w:sz w:val="24"/>
          <w:szCs w:val="24"/>
        </w:rPr>
        <w:t>2025年</w:t>
      </w:r>
      <w:r>
        <w:rPr>
          <w:rFonts w:hint="eastAsia" w:ascii="宋体" w:hAnsi="宋体" w:eastAsia="宋体"/>
          <w:sz w:val="24"/>
          <w:szCs w:val="24"/>
        </w:rPr>
        <w:t>省级一流人工智能通识课程申报工作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both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一、总体要求和目标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落实立德树人根本任务，抢抓人工智能引发的新一轮科技革命、产业变革和教育教学创新的机遇和挑战，引导高校结合实际，以培养师生的人工智能素养和能力为核心，建设一批省级一流人工智能本科课程，形成全面覆盖、分层分类、特色鲜明的人工智能课程体系。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2025年秋季学期，实现普通本科高校人工智能通识课全覆盖。</w:t>
      </w:r>
      <w:r>
        <w:rPr>
          <w:rFonts w:hint="eastAsia" w:ascii="宋体" w:hAnsi="宋体" w:eastAsia="宋体"/>
          <w:sz w:val="24"/>
          <w:szCs w:val="24"/>
        </w:rPr>
        <w:t>到2027年，打造200门省级一流人工智能本科课程，其中50门人工智能通识课程、50门人工智能核心技术课程和100门人工智能跨学科融合课程；</w:t>
      </w:r>
      <w:r>
        <w:rPr>
          <w:rFonts w:hint="default" w:ascii="宋体" w:hAnsi="宋体" w:eastAsia="宋体"/>
          <w:sz w:val="24"/>
          <w:szCs w:val="24"/>
        </w:rPr>
        <w:t>打造15门省级一流人工智能本科国际化课程</w:t>
      </w:r>
      <w:r>
        <w:rPr>
          <w:rFonts w:hint="default" w:ascii="宋体" w:hAnsi="宋体" w:eastAsia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（一）人工智能通识课程。</w:t>
      </w:r>
      <w:r>
        <w:rPr>
          <w:rFonts w:hint="default" w:ascii="宋体" w:hAnsi="宋体" w:eastAsia="宋体"/>
          <w:sz w:val="24"/>
          <w:szCs w:val="24"/>
          <w:lang w:eastAsia="zh-CN"/>
        </w:rPr>
        <w:t>面向所有专业学生开设，重点加强人工智能思维、基本方法、软件工具、产业应用和人工智能伦理教育，鼓励将人工智能软件和模型、科技前沿和产业发展最新成果纳入教学内容。2025年，建设省级一流人工智能通识课程50门，其中面向紧密型专业10门左右，理工农医类20门左右，人文社科类20门左右；建设省级一流人工智能国际化通识课程5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（二）人工智能核心技术课程。</w:t>
      </w:r>
      <w:r>
        <w:rPr>
          <w:rFonts w:hint="default" w:ascii="宋体" w:hAnsi="宋体" w:eastAsia="宋体"/>
          <w:sz w:val="24"/>
          <w:szCs w:val="24"/>
          <w:lang w:eastAsia="zh-CN"/>
        </w:rPr>
        <w:t>面向人工智能紧密型专业学生开设，重点培养学生的机器学习、计算机视觉、自然语言和机器人等专业核心技能。2026-2027年，认定省级一流人工智能核心技术课程50门；认定省级一流人工智能核心技术国际化课程5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（三）人工智能跨学科融合课程。</w:t>
      </w:r>
      <w:r>
        <w:rPr>
          <w:rFonts w:hint="default" w:ascii="宋体" w:hAnsi="宋体" w:eastAsia="宋体"/>
          <w:sz w:val="24"/>
          <w:szCs w:val="24"/>
          <w:lang w:eastAsia="zh-CN"/>
        </w:rPr>
        <w:t>面向相关专业学生开设，基于需求导向，通过智能制造、智慧医疗、数字金融、智慧农业等各行业领域场景的项目驱动式教学，提升学生在实际场景中的应用与创新能力。学生参与真实项目的实践学时占课程总学时的40%以上。2026-2027年，认定省级一流人工智能跨学科融合课程100门；认定省级一流人工智能跨学科融合国际化课程5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二、建设原则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（一）强化顶层设计。</w:t>
      </w:r>
      <w:r>
        <w:rPr>
          <w:rFonts w:hint="default" w:ascii="宋体" w:hAnsi="宋体" w:eastAsia="宋体"/>
          <w:sz w:val="24"/>
          <w:szCs w:val="24"/>
          <w:lang w:eastAsia="zh-CN"/>
        </w:rPr>
        <w:t>系统谋划一批名师名家人工智能通识课程，全省遴选优质师资力量，通过共建共享，带动省内高校人工智能通识教育水平的提升。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（二）实施分类建设。</w:t>
      </w:r>
      <w:r>
        <w:rPr>
          <w:rFonts w:hint="default" w:ascii="宋体" w:hAnsi="宋体" w:eastAsia="宋体"/>
          <w:sz w:val="24"/>
          <w:szCs w:val="24"/>
          <w:lang w:eastAsia="zh-CN"/>
        </w:rPr>
        <w:t>结合学校实际，针对研究型、应用型高校分别面向人工智能紧密型专业、理工农医类专业、人文社科类专业学生的不同需求，分层分类开展人工智能课程建设。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（三）坚持多方协同。</w:t>
      </w:r>
      <w:r>
        <w:rPr>
          <w:rFonts w:hint="default" w:ascii="宋体" w:hAnsi="宋体" w:eastAsia="宋体"/>
          <w:sz w:val="24"/>
          <w:szCs w:val="24"/>
          <w:lang w:eastAsia="zh-CN"/>
        </w:rPr>
        <w:t>强化产教融合，鼓励高校联合人工智能龙头企业和科研院所，紧密围绕实际应用场景开展课程建设。强化校际协作，鼓励跨校打造优质人工智能课程。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（四）坚持应用为王。</w:t>
      </w:r>
      <w:r>
        <w:rPr>
          <w:rFonts w:hint="default" w:ascii="宋体" w:hAnsi="宋体" w:eastAsia="宋体"/>
          <w:sz w:val="24"/>
          <w:szCs w:val="24"/>
          <w:lang w:eastAsia="zh-CN"/>
        </w:rPr>
        <w:t>课程建设应强化实践导向，通过项目驱动、案例分析、实习实训等多种形式，让学生在解决真实问题的过程中提升人工智能的素养和能力。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（五）体现浙江特色。</w:t>
      </w:r>
      <w:r>
        <w:rPr>
          <w:rFonts w:hint="default" w:ascii="宋体" w:hAnsi="宋体" w:eastAsia="宋体"/>
          <w:sz w:val="24"/>
          <w:szCs w:val="24"/>
          <w:lang w:eastAsia="zh-CN"/>
        </w:rPr>
        <w:t>结合浙江在人工智能领域的产业布局、技术创新和实际应用，紧密对接“315”科技创新体系和“415X”先进制造业产业集群，培养更多适应我省战略性产业和新兴产业发展，具备人工智能素养的创新型人才。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三、推荐条件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sz w:val="24"/>
          <w:szCs w:val="24"/>
          <w:lang w:eastAsia="zh-CN"/>
        </w:rPr>
        <w:t>推荐课程包括公共基础课、专业课和通识课等独立设置的本科理论课程和实验实践课程，课程可采用线上、线下和线上线下混合式等教学形式。</w:t>
      </w: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人工智能技术赋能教、学、评等课程不在推荐范围</w:t>
      </w:r>
      <w:r>
        <w:rPr>
          <w:rFonts w:hint="default" w:ascii="宋体" w:hAnsi="宋体" w:eastAsia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推荐的国际化课程还须为面向国际学生开课的全英文授课课程。</w:t>
      </w:r>
      <w:r>
        <w:rPr>
          <w:rFonts w:hint="default" w:ascii="宋体" w:hAnsi="宋体" w:eastAsia="宋体"/>
          <w:sz w:val="24"/>
          <w:szCs w:val="24"/>
          <w:lang w:eastAsia="zh-CN"/>
        </w:rPr>
        <w:t>授课教师具有丰富的来华留学教学经历和优良的跨文化教学能力。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推荐课程在认定前须纳入人才培养方案且设置学分，并至少经过两个学期或者两个教学周期的建设和完善</w:t>
      </w:r>
      <w:r>
        <w:rPr>
          <w:rFonts w:hint="default" w:ascii="宋体" w:hAnsi="宋体" w:eastAsia="宋体"/>
          <w:sz w:val="24"/>
          <w:szCs w:val="24"/>
          <w:lang w:eastAsia="zh-CN"/>
        </w:rPr>
        <w:t>，取得实质性改革成效，在同类课程中具有鲜明特色、良好的教学效果，并承诺入选后将持续改进。课程在以下方面具备实质性创新，有较大的借鉴和推广价值。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（一）教学理念秉持先进。</w:t>
      </w:r>
      <w:r>
        <w:rPr>
          <w:rFonts w:hint="default" w:ascii="宋体" w:hAnsi="宋体" w:eastAsia="宋体"/>
          <w:sz w:val="24"/>
          <w:szCs w:val="24"/>
          <w:lang w:eastAsia="zh-CN"/>
        </w:rPr>
        <w:t>主动适应人工智能时代的教育变革，充分理解人工智能应用能力对创新人才培养的重要意义，将人工智能素养和能力的培养作为高等教育的必要环节，以课程育人为主渠道，通过覆盖全面、适应性强的人工智能课程体系，全面培养学生的人工智能素养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（二）教学内容与时俱进。</w:t>
      </w:r>
      <w:r>
        <w:rPr>
          <w:rFonts w:hint="default" w:ascii="宋体" w:hAnsi="宋体" w:eastAsia="宋体"/>
          <w:sz w:val="24"/>
          <w:szCs w:val="24"/>
          <w:lang w:eastAsia="zh-CN"/>
        </w:rPr>
        <w:t>充分考虑学校培养层次和学生专业类别的不同，有针对性的开展课程内容建设，通过人工智能与专业知识的有效融合，助力各专业学生人工智能素养和能力培养。紧密跟踪人工智能前沿新技术，鼓励将人工智能科技前沿和产业发展最新成果纳入教学内容，提升课堂教学的前沿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（三）教学团队能力突出。</w:t>
      </w:r>
      <w:r>
        <w:rPr>
          <w:rFonts w:hint="default" w:ascii="宋体" w:hAnsi="宋体" w:eastAsia="宋体"/>
          <w:sz w:val="24"/>
          <w:szCs w:val="24"/>
          <w:lang w:eastAsia="zh-CN"/>
        </w:rPr>
        <w:t>充分发挥名师名家的示范引领作用，积极引导国家级、省级教学名师和人工智能领域高层次人才领衔课程建设，强化产教融合，打造优质课程教学团队。鼓励跨校、跨学科、跨行业共建人工智能课程。课程团队教学改革意识强烈，人员结构及任务分工合理，强化教学研究，定期集体备课，有力提升人工智能课程教师队伍的授课水平和授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（四）教学组织与评价突显学生中心。</w:t>
      </w:r>
      <w:r>
        <w:rPr>
          <w:rFonts w:hint="default" w:ascii="宋体" w:hAnsi="宋体" w:eastAsia="宋体"/>
          <w:sz w:val="24"/>
          <w:szCs w:val="24"/>
          <w:lang w:eastAsia="zh-CN"/>
        </w:rPr>
        <w:t>以学生能力成长为中心，以激发学生学习动力和专业志趣为着力点，围绕学生人工智能素养和能力的达成改革教学评价。根据学生认知特点创新教与学模式，增强师生和学生间的互动和资源共享，及时反馈以提升教学效果。加强研究型、案例式、项目式学习，改革评价方式，通过真题真做，提升课程学习的高阶性、创新性和挑战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（五）质量保障助力课程建设。</w:t>
      </w:r>
      <w:r>
        <w:rPr>
          <w:rFonts w:hint="default" w:ascii="宋体" w:hAnsi="宋体" w:eastAsia="宋体"/>
          <w:sz w:val="24"/>
          <w:szCs w:val="24"/>
          <w:lang w:eastAsia="zh-CN"/>
        </w:rPr>
        <w:t>加大课程建设保障力度，支持开展人工智能课程平台和实习实践平台建设，切实满足学生课程学习和实习实践的需求。加大优秀课程和教师的激励力度，提高教学业绩在专业技术职务评聘中的权重，营造重视人工智能课程改革与建设的良好氛围。加大对全英文人工智能课程及其国际化教材的建设支持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 xml:space="preserve">四、2025年人工智能通识课程申报工作安排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（一）申报范围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2025年开展省级一流人工智能通识课程申报工作，采用先建设后认定的方式</w:t>
      </w:r>
      <w:r>
        <w:rPr>
          <w:rFonts w:hint="default" w:ascii="宋体" w:hAnsi="宋体" w:eastAsia="宋体"/>
          <w:sz w:val="24"/>
          <w:szCs w:val="24"/>
          <w:lang w:eastAsia="zh-CN"/>
        </w:rPr>
        <w:t>，其中规划类课程15门左右、遴选类课程35门左右。规划类课程由省教育厅统一组织全省名师名家共同建设，课程形式为线上课程。</w:t>
      </w: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遴选类课程由各高校自主申报，课程形式为线下课程或线上线下混合式课程。省级一流人工智能通识国际化课程，均由各高校自主申报，课程形式不限，优质线上课程优先。所有省级人工智能通识课程须在2025年秋季学期面向大一新生开课，2026年底前至少完成两个完整教学周期。</w:t>
      </w:r>
      <w:r>
        <w:rPr>
          <w:rFonts w:hint="default" w:ascii="宋体" w:hAnsi="宋体" w:eastAsia="宋体"/>
          <w:sz w:val="24"/>
          <w:szCs w:val="24"/>
          <w:lang w:eastAsia="zh-CN"/>
        </w:rPr>
        <w:t>省教育厅将对课程组织验收，结合课程建设完成情况和实际课堂效果进行认定。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（二）申报名额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480" w:firstLineChars="200"/>
        <w:textAlignment w:val="auto"/>
        <w:rPr>
          <w:rFonts w:hint="default" w:ascii="宋体" w:hAnsi="宋体" w:eastAsia="宋体"/>
          <w:sz w:val="24"/>
          <w:szCs w:val="24"/>
          <w:lang w:eastAsia="zh-CN"/>
        </w:rPr>
      </w:pPr>
      <w:r>
        <w:rPr>
          <w:rFonts w:hint="default" w:ascii="宋体" w:hAnsi="宋体" w:eastAsia="宋体"/>
          <w:sz w:val="24"/>
          <w:szCs w:val="24"/>
          <w:lang w:eastAsia="zh-CN"/>
        </w:rPr>
        <w:t>省级一流人工智能通识课程遴选类实行限额申报，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我校可向省教育厅推荐</w:t>
      </w: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2门</w:t>
      </w:r>
      <w:r>
        <w:rPr>
          <w:rFonts w:hint="default" w:ascii="宋体" w:hAnsi="宋体" w:eastAsia="宋体"/>
          <w:sz w:val="24"/>
          <w:szCs w:val="24"/>
          <w:lang w:eastAsia="zh-CN"/>
        </w:rPr>
        <w:t>。</w:t>
      </w: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国际化课程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我</w:t>
      </w: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校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可向省教育厅推荐</w:t>
      </w: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1门</w:t>
      </w:r>
      <w:r>
        <w:rPr>
          <w:rFonts w:hint="default" w:ascii="宋体" w:hAnsi="宋体" w:eastAsia="宋体"/>
          <w:sz w:val="24"/>
          <w:szCs w:val="24"/>
          <w:lang w:eastAsia="zh-CN"/>
        </w:rPr>
        <w:t>。申报课程授课教师要求政治立场坚定，师德师风良好，课程负责人须为申报高校正式聘用的教师。</w:t>
      </w:r>
      <w:r>
        <w:rPr>
          <w:rFonts w:hint="default" w:ascii="宋体" w:hAnsi="宋体" w:eastAsia="宋体"/>
          <w:b/>
          <w:bCs/>
          <w:sz w:val="24"/>
          <w:szCs w:val="24"/>
          <w:lang w:eastAsia="zh-CN"/>
        </w:rPr>
        <w:t>每位教师作为课程负责人限申报1门，作为团队主要成员限申报2门。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both"/>
        <w:textAlignment w:val="auto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  <w:t>（三）申报方式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both"/>
        <w:textAlignment w:val="auto"/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1.申报教师填写相应申报书（附件1、附件</w:t>
      </w:r>
      <w:r>
        <w:rPr>
          <w:rFonts w:hint="default" w:ascii="宋体" w:hAnsi="宋体" w:eastAsia="宋体"/>
          <w:b w:val="0"/>
          <w:bCs w:val="0"/>
          <w:sz w:val="24"/>
          <w:szCs w:val="24"/>
          <w:lang w:eastAsia="zh-CN"/>
          <w:woUserID w:val="1"/>
        </w:rPr>
        <w:t>3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），并报送所在学院（部）。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both"/>
        <w:textAlignment w:val="auto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2.学院（部）汇总、审核申报书，并填写相应汇总表（附件</w:t>
      </w:r>
      <w:r>
        <w:rPr>
          <w:rFonts w:hint="default" w:ascii="宋体" w:hAnsi="宋体" w:eastAsia="宋体"/>
          <w:b w:val="0"/>
          <w:bCs w:val="0"/>
          <w:sz w:val="24"/>
          <w:szCs w:val="24"/>
          <w:lang w:eastAsia="zh-CN"/>
          <w:woUserID w:val="1"/>
        </w:rPr>
        <w:t>2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、附件4），于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2月20日前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将人工智能通识课程申报材料电子稿（含申报书Word版、申报汇总表Word版和签字盖章扫描PDF版）发教务处谢桂花浙政钉（联系电话8015147），国际化课程申报材料电子稿（含申报书Word版、申报汇总表Word版和签字盖章扫描PDF版）发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国际处</w:t>
      </w:r>
      <w:r>
        <w:rPr>
          <w:rFonts w:hint="default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  <w:woUserID w:val="1"/>
        </w:rPr>
        <w:t>华璠浙政钉</w:t>
      </w:r>
      <w:bookmarkStart w:id="0" w:name="_GoBack"/>
      <w:bookmarkEnd w:id="0"/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（联系电话</w:t>
      </w:r>
      <w:r>
        <w:rPr>
          <w:rFonts w:hint="default" w:ascii="宋体" w:hAnsi="宋体" w:eastAsia="宋体"/>
          <w:b w:val="0"/>
          <w:bCs w:val="0"/>
          <w:color w:val="auto"/>
          <w:sz w:val="24"/>
          <w:szCs w:val="24"/>
          <w:highlight w:val="none"/>
          <w:lang w:eastAsia="zh-CN"/>
          <w:woUserID w:val="1"/>
        </w:rPr>
        <w:t>8065201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/>
          <w:b w:val="0"/>
          <w:bCs w:val="0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both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学院（部）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作为课程建设主体，要合理统筹，严格把关，择优申报，确保申报课程内容的科学性、先进性和实用性。鼓励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跨学院、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跨校开展课程建设，提升课程建设质量。各学院（部）在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申报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材料报送前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须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做好课程遴选与审核工作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对课程团队成员情况以及课程政治方向进行审查把关，确保课程正确的政治方向、价值导向。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both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t>各学院（部）要充分认识一流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人工智能</w:t>
      </w:r>
      <w:r>
        <w:rPr>
          <w:rFonts w:hint="default" w:ascii="宋体" w:hAnsi="宋体" w:eastAsia="宋体"/>
          <w:sz w:val="24"/>
          <w:szCs w:val="24"/>
          <w:lang w:val="en-US" w:eastAsia="zh-CN"/>
        </w:rPr>
        <w:t>本科课程建设的重要意义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，按照省教育厅通知要求做好培育工作。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附件：1.浙江省一流人工智能通识课程申报书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2.浙江省一流人工智能通识课程申报汇总表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3.浙江省一流人工智能通识国际化课程申报书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4.浙江省一流人工智能通识国际化课程申报汇总表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 教务处、国际处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both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          2025年1月26日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both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jc w:val="both"/>
        <w:textAlignment w:val="auto"/>
        <w:rPr>
          <w:rFonts w:hint="default" w:ascii="宋体" w:hAnsi="宋体" w:eastAsia="宋体"/>
          <w:sz w:val="24"/>
          <w:szCs w:val="24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17C3"/>
    <w:rsid w:val="04E37BC1"/>
    <w:rsid w:val="0BC96FF0"/>
    <w:rsid w:val="0C815D3D"/>
    <w:rsid w:val="0F6C1FCC"/>
    <w:rsid w:val="16041350"/>
    <w:rsid w:val="17035AAC"/>
    <w:rsid w:val="174E114A"/>
    <w:rsid w:val="17CC4756"/>
    <w:rsid w:val="18A46E1B"/>
    <w:rsid w:val="1A1D6E85"/>
    <w:rsid w:val="1F5A0233"/>
    <w:rsid w:val="1FF266BE"/>
    <w:rsid w:val="20784E15"/>
    <w:rsid w:val="23C16AD3"/>
    <w:rsid w:val="285A36B5"/>
    <w:rsid w:val="2C3410DE"/>
    <w:rsid w:val="2F544828"/>
    <w:rsid w:val="307B0F48"/>
    <w:rsid w:val="3ECF4342"/>
    <w:rsid w:val="454D5FC1"/>
    <w:rsid w:val="47B916EB"/>
    <w:rsid w:val="52500E9E"/>
    <w:rsid w:val="53D330C0"/>
    <w:rsid w:val="56D54068"/>
    <w:rsid w:val="5962260D"/>
    <w:rsid w:val="597436C4"/>
    <w:rsid w:val="60A70DAD"/>
    <w:rsid w:val="615A5895"/>
    <w:rsid w:val="67C648EF"/>
    <w:rsid w:val="6A3B1A49"/>
    <w:rsid w:val="703D6AAE"/>
    <w:rsid w:val="74D84FF7"/>
    <w:rsid w:val="79FF303B"/>
    <w:rsid w:val="7A1D6DB5"/>
    <w:rsid w:val="7E857F9E"/>
    <w:rsid w:val="7FFFE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3108</Words>
  <Characters>3215</Characters>
  <Lines>0</Lines>
  <Paragraphs>0</Paragraphs>
  <TotalTime>3</TotalTime>
  <ScaleCrop>false</ScaleCrop>
  <LinksUpToDate>false</LinksUpToDate>
  <CharactersWithSpaces>3287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2025-01-26T19:52:00Z</dcterms:created>
  <dc:creator>51503</dc:creator>
  <cp:lastModifiedBy>karina</cp:lastModifiedBy>
  <dcterms:modified xsi:type="dcterms:W3CDTF">2025-01-27T12:39:02Z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eyJoZGlkIjoiMDRmNGUzNGNhNjQxNWQ4NTBmMDBiNjIzMjYxNjU4NTgiLCJ1c2VySWQiOiIyNTMwNTAzOTUifQ==</vt:lpwstr>
  </property>
  <property fmtid="{D5CDD505-2E9C-101B-9397-08002B2CF9AE}" pid="4" name="ICV">
    <vt:lpwstr>33FA61FAC7CB4D73866A4BD0CE1B73A8_12</vt:lpwstr>
  </property>
</Properties>
</file>